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s>
        <w:autoSpaceDE w:val="0"/>
        <w:autoSpaceDN w:val="0"/>
        <w:adjustRightInd w:val="0"/>
        <w:spacing w:before="0" w:after="0" w:line="360" w:lineRule="auto"/>
        <w:jc w:val="center"/>
        <w:rPr>
          <w:rFonts w:ascii="华文中宋" w:hAnsi="华文中宋" w:eastAsia="华文中宋"/>
          <w:color w:val="000000" w:themeColor="text1"/>
          <w14:textFill>
            <w14:solidFill>
              <w14:schemeClr w14:val="tx1"/>
            </w14:solidFill>
          </w14:textFill>
        </w:rPr>
      </w:pPr>
      <w:bookmarkStart w:id="0" w:name="_Toc35393832"/>
      <w:bookmarkStart w:id="1" w:name="_Toc28359042"/>
      <w:r>
        <w:rPr>
          <w:rFonts w:hint="eastAsia" w:ascii="华文中宋" w:hAnsi="华文中宋" w:eastAsia="华文中宋" w:cs="华文中宋"/>
        </w:rPr>
        <w:t>山西</w:t>
      </w:r>
      <w:r>
        <w:rPr>
          <w:rFonts w:hint="eastAsia" w:ascii="华文中宋" w:hAnsi="华文中宋" w:eastAsia="华文中宋" w:cs="华文中宋"/>
          <w:color w:val="000000" w:themeColor="text1"/>
          <w14:textFill>
            <w14:solidFill>
              <w14:schemeClr w14:val="tx1"/>
            </w14:solidFill>
          </w14:textFill>
        </w:rPr>
        <w:t>大学互联网专线租赁服务项目</w:t>
      </w:r>
      <w:r>
        <w:rPr>
          <w:rFonts w:hint="eastAsia" w:ascii="华文中宋" w:hAnsi="华文中宋" w:eastAsia="华文中宋"/>
          <w:color w:val="000000" w:themeColor="text1"/>
          <w14:textFill>
            <w14:solidFill>
              <w14:schemeClr w14:val="tx1"/>
            </w14:solidFill>
          </w14:textFill>
        </w:rPr>
        <w:t>（SDDY-2200</w:t>
      </w:r>
      <w:r>
        <w:rPr>
          <w:rFonts w:hint="eastAsia" w:ascii="华文中宋" w:hAnsi="华文中宋" w:eastAsia="华文中宋"/>
          <w:color w:val="000000" w:themeColor="text1"/>
          <w:lang w:val="en-US" w:eastAsia="zh-CN"/>
          <w14:textFill>
            <w14:solidFill>
              <w14:schemeClr w14:val="tx1"/>
            </w14:solidFill>
          </w14:textFill>
        </w:rPr>
        <w:t>2</w:t>
      </w:r>
      <w:r>
        <w:rPr>
          <w:rFonts w:hint="eastAsia" w:ascii="华文中宋" w:hAnsi="华文中宋" w:eastAsia="华文中宋"/>
          <w:color w:val="000000" w:themeColor="text1"/>
          <w14:textFill>
            <w14:solidFill>
              <w14:schemeClr w14:val="tx1"/>
            </w14:solidFill>
          </w14:textFill>
        </w:rPr>
        <w:t>）</w:t>
      </w:r>
      <w:bookmarkStart w:id="2" w:name="_GoBack"/>
      <w:bookmarkEnd w:id="2"/>
    </w:p>
    <w:p>
      <w:pPr>
        <w:pStyle w:val="2"/>
        <w:tabs>
          <w:tab w:val="left" w:pos="0"/>
        </w:tabs>
        <w:autoSpaceDE w:val="0"/>
        <w:autoSpaceDN w:val="0"/>
        <w:adjustRightInd w:val="0"/>
        <w:spacing w:before="0" w:after="0" w:line="360" w:lineRule="auto"/>
        <w:ind w:firstLine="2209" w:firstLineChars="500"/>
        <w:rPr>
          <w:rFonts w:ascii="华文中宋" w:hAnsi="华文中宋" w:eastAsia="华文中宋"/>
        </w:rPr>
      </w:pPr>
      <w:r>
        <w:rPr>
          <w:rFonts w:hint="eastAsia" w:ascii="华文中宋" w:hAnsi="华文中宋" w:eastAsia="华文中宋"/>
        </w:rPr>
        <w:t>单一来源征求意见公示</w:t>
      </w:r>
      <w:bookmarkEnd w:id="0"/>
      <w:bookmarkEnd w:id="1"/>
    </w:p>
    <w:p>
      <w:pPr>
        <w:rPr>
          <w:rFonts w:ascii="黑体" w:hAnsi="黑体" w:eastAsia="黑体"/>
          <w:sz w:val="28"/>
          <w:szCs w:val="28"/>
        </w:rPr>
      </w:pPr>
      <w:r>
        <w:rPr>
          <w:rFonts w:hint="eastAsia" w:ascii="黑体" w:hAnsi="黑体" w:eastAsia="黑体"/>
          <w:sz w:val="28"/>
          <w:szCs w:val="28"/>
        </w:rPr>
        <w:t>一、项目信息</w:t>
      </w:r>
    </w:p>
    <w:p>
      <w:pPr>
        <w:ind w:firstLine="560" w:firstLineChars="200"/>
        <w:rPr>
          <w:rFonts w:ascii="仿宋" w:hAnsi="仿宋" w:eastAsia="仿宋"/>
          <w:sz w:val="28"/>
          <w:szCs w:val="28"/>
          <w:u w:val="single"/>
        </w:rPr>
      </w:pPr>
      <w:r>
        <w:rPr>
          <w:rFonts w:hint="eastAsia" w:ascii="仿宋" w:hAnsi="仿宋" w:eastAsia="仿宋"/>
          <w:sz w:val="28"/>
          <w:szCs w:val="28"/>
        </w:rPr>
        <w:t>采购人：</w:t>
      </w:r>
      <w:r>
        <w:rPr>
          <w:rFonts w:hint="eastAsia" w:ascii="仿宋" w:hAnsi="仿宋" w:eastAsia="仿宋"/>
          <w:sz w:val="28"/>
          <w:szCs w:val="28"/>
          <w:u w:val="single"/>
        </w:rPr>
        <w:t>山西大学</w:t>
      </w:r>
    </w:p>
    <w:p>
      <w:pPr>
        <w:ind w:firstLine="560" w:firstLineChars="200"/>
        <w:rPr>
          <w:rFonts w:ascii="仿宋" w:hAnsi="仿宋" w:eastAsia="仿宋"/>
          <w:sz w:val="28"/>
          <w:szCs w:val="28"/>
        </w:rPr>
      </w:pPr>
      <w:r>
        <w:rPr>
          <w:rFonts w:hint="eastAsia" w:ascii="仿宋" w:hAnsi="仿宋" w:eastAsia="仿宋"/>
          <w:sz w:val="28"/>
          <w:szCs w:val="28"/>
        </w:rPr>
        <w:t>项目名称：</w:t>
      </w:r>
      <w:r>
        <w:rPr>
          <w:rFonts w:hint="eastAsia" w:ascii="仿宋" w:hAnsi="仿宋" w:eastAsia="仿宋"/>
          <w:sz w:val="28"/>
          <w:szCs w:val="28"/>
          <w:u w:val="single"/>
        </w:rPr>
        <w:t>山西大学互联网专线租赁服务</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山西大学互联网专线租赁服务项目包括两个子项目：</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项目1、教育科研网及下一代互联网（IPv6）接入服务；</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项目2、互联网专线联通出口及坞城校区至大东关校区裸光纤和坞城校区至太原理工大学教育网山西省节点裸光纤；</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两个子项目合计1</w:t>
      </w:r>
      <w:r>
        <w:rPr>
          <w:rFonts w:ascii="仿宋" w:hAnsi="仿宋" w:eastAsia="仿宋" w:cs="仿宋"/>
          <w:sz w:val="28"/>
          <w:szCs w:val="28"/>
        </w:rPr>
        <w:t>80</w:t>
      </w:r>
      <w:r>
        <w:rPr>
          <w:rFonts w:hint="eastAsia" w:ascii="仿宋" w:hAnsi="仿宋" w:eastAsia="仿宋" w:cs="仿宋"/>
          <w:sz w:val="28"/>
          <w:szCs w:val="28"/>
        </w:rPr>
        <w:t>万元。</w:t>
      </w:r>
    </w:p>
    <w:p>
      <w:pPr>
        <w:adjustRightInd w:val="0"/>
        <w:snapToGrid w:val="0"/>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该项目已实施多年，作为我校师生访问互联网和教育网资源的主干专线，以及坞城校区与大东关校区互联互通、坞城校区与太原理工大学山西省教育网节点互联互通的基础保障，也是确保学校正常教学、科研、管理和服务的网络基础设施，是学校一切网络服务的必备前提条件。</w:t>
      </w:r>
    </w:p>
    <w:p>
      <w:pPr>
        <w:ind w:firstLine="560" w:firstLineChars="200"/>
        <w:jc w:val="left"/>
        <w:rPr>
          <w:rFonts w:ascii="仿宋" w:hAnsi="仿宋" w:eastAsia="仿宋" w:cs="仿宋"/>
          <w:sz w:val="28"/>
          <w:szCs w:val="28"/>
        </w:rPr>
      </w:pPr>
      <w:r>
        <w:rPr>
          <w:rFonts w:hint="eastAsia" w:ascii="仿宋" w:hAnsi="仿宋" w:eastAsia="仿宋" w:cs="仿宋"/>
          <w:sz w:val="28"/>
          <w:szCs w:val="28"/>
        </w:rPr>
        <w:t>特申请此项目采用单一来源方式采购。</w:t>
      </w:r>
    </w:p>
    <w:p>
      <w:pPr>
        <w:ind w:firstLine="560" w:firstLineChars="200"/>
        <w:rPr>
          <w:rFonts w:ascii="仿宋" w:hAnsi="仿宋" w:eastAsia="仿宋" w:cs="仿宋"/>
          <w:sz w:val="28"/>
          <w:szCs w:val="28"/>
          <w:u w:val="single"/>
        </w:rPr>
      </w:pPr>
      <w:r>
        <w:rPr>
          <w:rFonts w:hint="eastAsia" w:ascii="仿宋" w:hAnsi="仿宋" w:eastAsia="仿宋" w:cs="仿宋"/>
          <w:sz w:val="28"/>
          <w:szCs w:val="28"/>
        </w:rPr>
        <w:t>拟采购的货物或服务的预算金额：</w:t>
      </w:r>
      <w:r>
        <w:rPr>
          <w:rFonts w:hint="eastAsia" w:ascii="仿宋" w:hAnsi="仿宋" w:eastAsia="仿宋" w:cs="仿宋"/>
          <w:sz w:val="28"/>
          <w:szCs w:val="28"/>
          <w:u w:val="single"/>
        </w:rPr>
        <w:t>1</w:t>
      </w:r>
      <w:r>
        <w:rPr>
          <w:rFonts w:ascii="仿宋" w:hAnsi="仿宋" w:eastAsia="仿宋" w:cs="仿宋"/>
          <w:sz w:val="28"/>
          <w:szCs w:val="28"/>
          <w:u w:val="single"/>
        </w:rPr>
        <w:t>80</w:t>
      </w:r>
      <w:r>
        <w:rPr>
          <w:rFonts w:hint="eastAsia" w:ascii="仿宋" w:hAnsi="仿宋" w:eastAsia="仿宋" w:cs="仿宋"/>
          <w:sz w:val="28"/>
          <w:szCs w:val="28"/>
          <w:u w:val="single"/>
        </w:rPr>
        <w:t>0000元</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采用单一来源采购方式的原因及说明：</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项目</w:t>
      </w:r>
      <w:r>
        <w:rPr>
          <w:rFonts w:ascii="仿宋" w:hAnsi="仿宋" w:eastAsia="仿宋" w:cs="仿宋"/>
          <w:sz w:val="28"/>
          <w:szCs w:val="28"/>
        </w:rPr>
        <w:t>1</w:t>
      </w:r>
      <w:r>
        <w:rPr>
          <w:rFonts w:hint="eastAsia" w:ascii="仿宋" w:hAnsi="仿宋" w:eastAsia="仿宋" w:cs="仿宋"/>
          <w:sz w:val="28"/>
          <w:szCs w:val="28"/>
        </w:rPr>
        <w:t>：</w:t>
      </w:r>
    </w:p>
    <w:p>
      <w:pPr>
        <w:widowControl/>
        <w:numPr>
          <w:ilvl w:val="0"/>
          <w:numId w:val="1"/>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目前仅有赛尔网络有限公司负责中国教育和科研计算机网CERNET的运营与管理，负责中国教育和科研计算机网下一代互联网（IPv6）的运营与管理。</w:t>
      </w:r>
    </w:p>
    <w:p>
      <w:pPr>
        <w:numPr>
          <w:ilvl w:val="0"/>
          <w:numId w:val="1"/>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山西大学作为教学科研单位，必须实现高校互联并访问教育网内大量数字资源，必须使用 edu.cn 域名及其服务，高考招生期间必须使用教育网专线等服务，必须为师生提供下一代互联网（IPv6）的接入以满足教学科研需求。</w:t>
      </w:r>
    </w:p>
    <w:p>
      <w:pPr>
        <w:adjustRightInd w:val="0"/>
        <w:snapToGrid w:val="0"/>
        <w:spacing w:line="360" w:lineRule="auto"/>
        <w:ind w:left="1260"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因为只有赛尔网络有限公司才能实现上述两点，所以赛尔网络有限公司是能提供本服务的唯一供应商。</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项目</w:t>
      </w:r>
      <w:r>
        <w:rPr>
          <w:rFonts w:ascii="仿宋" w:hAnsi="仿宋" w:eastAsia="仿宋" w:cs="仿宋"/>
          <w:sz w:val="28"/>
          <w:szCs w:val="28"/>
        </w:rPr>
        <w:t>2</w:t>
      </w:r>
      <w:r>
        <w:rPr>
          <w:rFonts w:hint="eastAsia" w:ascii="仿宋" w:hAnsi="仿宋" w:eastAsia="仿宋" w:cs="仿宋"/>
          <w:sz w:val="28"/>
          <w:szCs w:val="28"/>
        </w:rPr>
        <w:t>：</w:t>
      </w:r>
    </w:p>
    <w:p>
      <w:pPr>
        <w:widowControl/>
        <w:numPr>
          <w:ilvl w:val="0"/>
          <w:numId w:val="2"/>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目前家属区、令德学生宿舍区的网络均由中国联合网络通信有限公司太原市分公司建设和运维，此区域网络须接入联通太原城域网，方可实现该区域师生直接访问校园网资源的目标,保障校园网络的一致性，满足配套服务要求。</w:t>
      </w:r>
    </w:p>
    <w:p>
      <w:pPr>
        <w:widowControl/>
        <w:numPr>
          <w:ilvl w:val="0"/>
          <w:numId w:val="2"/>
        </w:numPr>
        <w:adjustRightInd w:val="0"/>
        <w:snapToGrid w:val="0"/>
        <w:spacing w:line="360" w:lineRule="auto"/>
        <w:ind w:left="1685"/>
        <w:jc w:val="left"/>
        <w:rPr>
          <w:rFonts w:ascii="仿宋" w:hAnsi="仿宋" w:eastAsia="仿宋" w:cs="仿宋"/>
          <w:kern w:val="0"/>
          <w:sz w:val="28"/>
          <w:szCs w:val="28"/>
        </w:rPr>
      </w:pPr>
      <w:r>
        <w:rPr>
          <w:rFonts w:hint="eastAsia" w:ascii="仿宋" w:hAnsi="仿宋" w:eastAsia="仿宋" w:cs="仿宋"/>
          <w:kern w:val="0"/>
          <w:sz w:val="28"/>
          <w:szCs w:val="28"/>
        </w:rPr>
        <w:t>我校购买了大量国内外电子图书等数据资源均依据专线的IP地址范围提供服务，不同数据资源的购买周期不一，技术上要求学校出口的IP地址范围长期稳定，</w:t>
      </w:r>
    </w:p>
    <w:p>
      <w:pPr>
        <w:adjustRightInd w:val="0"/>
        <w:snapToGrid w:val="0"/>
        <w:spacing w:line="360" w:lineRule="auto"/>
        <w:ind w:left="1260"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因为只有中国联合网络通信有限公司太原市分公司才能实现上述两点，既保证了业务的稳定性和连续性，又可避免重复建设，所以中国联合网络通信有限公司太原市分公司是能提供本服务的唯一供应商。</w:t>
      </w:r>
    </w:p>
    <w:p>
      <w:pPr>
        <w:adjustRightInd w:val="0"/>
        <w:snapToGrid w:val="0"/>
        <w:spacing w:line="360" w:lineRule="auto"/>
        <w:jc w:val="left"/>
        <w:rPr>
          <w:rFonts w:ascii="仿宋" w:hAnsi="仿宋" w:eastAsia="仿宋" w:cs="仿宋"/>
          <w:kern w:val="0"/>
          <w:sz w:val="28"/>
          <w:szCs w:val="28"/>
        </w:rPr>
      </w:pPr>
    </w:p>
    <w:p>
      <w:pPr>
        <w:ind w:firstLine="560" w:firstLineChars="200"/>
        <w:jc w:val="left"/>
        <w:rPr>
          <w:sz w:val="28"/>
          <w:szCs w:val="24"/>
        </w:rPr>
      </w:pPr>
      <w:r>
        <w:rPr>
          <w:rFonts w:hint="eastAsia" w:ascii="仿宋" w:hAnsi="仿宋" w:eastAsia="仿宋"/>
          <w:sz w:val="28"/>
          <w:szCs w:val="28"/>
        </w:rPr>
        <w:t>因此，申请此项目以单一来源方式采购。</w:t>
      </w:r>
    </w:p>
    <w:p>
      <w:pPr>
        <w:ind w:firstLine="560" w:firstLineChars="200"/>
        <w:rPr>
          <w:rFonts w:ascii="黑体" w:hAnsi="黑体" w:eastAsia="黑体"/>
          <w:sz w:val="28"/>
          <w:szCs w:val="28"/>
        </w:rPr>
      </w:pPr>
      <w:r>
        <w:rPr>
          <w:rFonts w:hint="eastAsia" w:ascii="黑体" w:hAnsi="黑体" w:eastAsia="黑体"/>
          <w:sz w:val="28"/>
          <w:szCs w:val="28"/>
        </w:rPr>
        <w:t>二、拟定供应商信息</w:t>
      </w:r>
    </w:p>
    <w:p>
      <w:pPr>
        <w:ind w:firstLine="560" w:firstLineChars="200"/>
        <w:rPr>
          <w:rFonts w:ascii="仿宋" w:hAnsi="仿宋" w:eastAsia="仿宋"/>
          <w:sz w:val="28"/>
          <w:szCs w:val="28"/>
        </w:rPr>
      </w:pPr>
      <w:r>
        <w:rPr>
          <w:rFonts w:hint="eastAsia" w:ascii="仿宋" w:hAnsi="仿宋" w:eastAsia="仿宋"/>
          <w:sz w:val="28"/>
          <w:szCs w:val="28"/>
        </w:rPr>
        <w:t>项目</w:t>
      </w:r>
      <w:r>
        <w:rPr>
          <w:rFonts w:ascii="仿宋" w:hAnsi="仿宋" w:eastAsia="仿宋"/>
          <w:sz w:val="28"/>
          <w:szCs w:val="28"/>
        </w:rPr>
        <w:t>1</w:t>
      </w:r>
      <w:r>
        <w:rPr>
          <w:rFonts w:hint="eastAsia" w:ascii="仿宋" w:hAnsi="仿宋" w:eastAsia="仿宋"/>
          <w:sz w:val="28"/>
          <w:szCs w:val="28"/>
        </w:rPr>
        <w:t>：</w:t>
      </w:r>
    </w:p>
    <w:p>
      <w:pPr>
        <w:ind w:firstLine="1400" w:firstLineChars="500"/>
        <w:rPr>
          <w:rFonts w:ascii="仿宋" w:hAnsi="仿宋" w:eastAsia="仿宋"/>
          <w:sz w:val="28"/>
          <w:szCs w:val="28"/>
          <w:u w:val="single"/>
        </w:rPr>
      </w:pPr>
      <w:r>
        <w:rPr>
          <w:rFonts w:hint="eastAsia" w:ascii="仿宋" w:hAnsi="仿宋" w:eastAsia="仿宋"/>
          <w:sz w:val="28"/>
          <w:szCs w:val="28"/>
        </w:rPr>
        <w:t>名称：</w:t>
      </w:r>
      <w:r>
        <w:rPr>
          <w:rFonts w:hint="eastAsia" w:ascii="仿宋" w:hAnsi="仿宋" w:eastAsia="仿宋"/>
          <w:sz w:val="28"/>
          <w:szCs w:val="28"/>
          <w:u w:val="single"/>
        </w:rPr>
        <w:t>赛尔网络有限公司</w:t>
      </w:r>
    </w:p>
    <w:p>
      <w:pPr>
        <w:ind w:firstLine="1400" w:firstLineChars="500"/>
        <w:rPr>
          <w:rFonts w:ascii="仿宋" w:hAnsi="仿宋" w:eastAsia="仿宋"/>
          <w:sz w:val="28"/>
          <w:szCs w:val="28"/>
          <w:u w:val="single"/>
        </w:rPr>
      </w:pPr>
      <w:r>
        <w:rPr>
          <w:rFonts w:hint="eastAsia" w:ascii="仿宋" w:hAnsi="仿宋" w:eastAsia="仿宋"/>
          <w:sz w:val="28"/>
          <w:szCs w:val="28"/>
        </w:rPr>
        <w:t>地址：</w:t>
      </w:r>
      <w:r>
        <w:rPr>
          <w:rFonts w:hint="eastAsia" w:ascii="仿宋" w:hAnsi="仿宋" w:eastAsia="仿宋"/>
          <w:sz w:val="28"/>
          <w:szCs w:val="28"/>
          <w:u w:val="single"/>
        </w:rPr>
        <w:t xml:space="preserve">北京市海淀区中关村东路1号 </w:t>
      </w:r>
    </w:p>
    <w:p>
      <w:pPr>
        <w:ind w:firstLine="560" w:firstLineChars="200"/>
        <w:rPr>
          <w:rFonts w:ascii="仿宋" w:hAnsi="仿宋" w:eastAsia="仿宋"/>
          <w:sz w:val="28"/>
          <w:szCs w:val="28"/>
        </w:rPr>
      </w:pPr>
      <w:r>
        <w:rPr>
          <w:rFonts w:hint="eastAsia" w:ascii="仿宋" w:hAnsi="仿宋" w:eastAsia="仿宋"/>
          <w:sz w:val="28"/>
          <w:szCs w:val="28"/>
        </w:rPr>
        <w:t>项目</w:t>
      </w:r>
      <w:r>
        <w:rPr>
          <w:rFonts w:ascii="仿宋" w:hAnsi="仿宋" w:eastAsia="仿宋"/>
          <w:sz w:val="28"/>
          <w:szCs w:val="28"/>
        </w:rPr>
        <w:t>2</w:t>
      </w:r>
      <w:r>
        <w:rPr>
          <w:rFonts w:hint="eastAsia" w:ascii="仿宋" w:hAnsi="仿宋" w:eastAsia="仿宋"/>
          <w:sz w:val="28"/>
          <w:szCs w:val="28"/>
        </w:rPr>
        <w:t>：</w:t>
      </w:r>
    </w:p>
    <w:p>
      <w:pPr>
        <w:ind w:firstLine="1400" w:firstLineChars="500"/>
        <w:rPr>
          <w:rFonts w:ascii="仿宋" w:hAnsi="仿宋" w:eastAsia="仿宋"/>
          <w:sz w:val="28"/>
          <w:szCs w:val="28"/>
          <w:u w:val="single"/>
        </w:rPr>
      </w:pPr>
      <w:r>
        <w:rPr>
          <w:rFonts w:hint="eastAsia" w:ascii="仿宋" w:hAnsi="仿宋" w:eastAsia="仿宋"/>
          <w:sz w:val="28"/>
          <w:szCs w:val="28"/>
        </w:rPr>
        <w:t>名称：</w:t>
      </w:r>
      <w:r>
        <w:rPr>
          <w:rFonts w:hint="eastAsia" w:ascii="仿宋" w:hAnsi="仿宋" w:eastAsia="仿宋"/>
          <w:sz w:val="28"/>
          <w:szCs w:val="28"/>
          <w:u w:val="single"/>
        </w:rPr>
        <w:t>中国联合网络通信有限公司太原市分公司</w:t>
      </w:r>
    </w:p>
    <w:p>
      <w:pPr>
        <w:ind w:firstLine="1400" w:firstLineChars="500"/>
        <w:rPr>
          <w:rFonts w:ascii="仿宋" w:hAnsi="仿宋" w:eastAsia="仿宋"/>
          <w:sz w:val="28"/>
          <w:szCs w:val="28"/>
          <w:u w:val="single"/>
        </w:rPr>
      </w:pPr>
      <w:r>
        <w:rPr>
          <w:rFonts w:hint="eastAsia" w:ascii="仿宋" w:hAnsi="仿宋" w:eastAsia="仿宋"/>
          <w:sz w:val="28"/>
          <w:szCs w:val="28"/>
        </w:rPr>
        <w:t>地址：</w:t>
      </w:r>
      <w:r>
        <w:rPr>
          <w:rFonts w:hint="eastAsia" w:ascii="仿宋" w:hAnsi="仿宋" w:eastAsia="仿宋"/>
          <w:sz w:val="28"/>
          <w:szCs w:val="28"/>
          <w:u w:val="single"/>
        </w:rPr>
        <w:t xml:space="preserve">太原市迎泽大街213号 </w:t>
      </w:r>
    </w:p>
    <w:p>
      <w:pPr>
        <w:rPr>
          <w:rFonts w:ascii="黑体" w:hAnsi="黑体" w:eastAsia="黑体"/>
          <w:sz w:val="28"/>
          <w:szCs w:val="28"/>
        </w:rPr>
      </w:pPr>
    </w:p>
    <w:p>
      <w:pPr>
        <w:ind w:firstLine="560" w:firstLineChars="200"/>
        <w:rPr>
          <w:rFonts w:ascii="黑体" w:hAnsi="黑体" w:eastAsia="黑体"/>
          <w:sz w:val="28"/>
          <w:szCs w:val="28"/>
        </w:rPr>
      </w:pPr>
      <w:r>
        <w:rPr>
          <w:rFonts w:hint="eastAsia" w:ascii="黑体" w:hAnsi="黑体" w:eastAsia="黑体"/>
          <w:sz w:val="28"/>
          <w:szCs w:val="28"/>
        </w:rPr>
        <w:t>三、公示期限</w:t>
      </w:r>
    </w:p>
    <w:p>
      <w:pPr>
        <w:pStyle w:val="12"/>
        <w:ind w:left="-10" w:leftChars="-5" w:firstLine="560"/>
        <w:rPr>
          <w:rFonts w:ascii="仿宋" w:hAnsi="仿宋" w:eastAsia="仿宋"/>
          <w:sz w:val="28"/>
          <w:szCs w:val="28"/>
        </w:rPr>
      </w:pPr>
      <w:r>
        <w:rPr>
          <w:rFonts w:hint="eastAsia" w:ascii="仿宋" w:hAnsi="仿宋" w:eastAsia="仿宋"/>
          <w:color w:val="FF0000"/>
          <w:sz w:val="28"/>
          <w:szCs w:val="28"/>
          <w:u w:val="single"/>
        </w:rPr>
        <w:t>2</w:t>
      </w:r>
      <w:r>
        <w:rPr>
          <w:rFonts w:ascii="仿宋" w:hAnsi="仿宋" w:eastAsia="仿宋"/>
          <w:color w:val="FF0000"/>
          <w:sz w:val="28"/>
          <w:szCs w:val="28"/>
          <w:u w:val="single"/>
        </w:rPr>
        <w:t>02</w:t>
      </w:r>
      <w:r>
        <w:rPr>
          <w:rFonts w:hint="eastAsia" w:ascii="仿宋" w:hAnsi="仿宋" w:eastAsia="仿宋"/>
          <w:color w:val="FF0000"/>
          <w:sz w:val="28"/>
          <w:szCs w:val="28"/>
          <w:u w:val="single"/>
          <w:lang w:val="en-US" w:eastAsia="zh-CN"/>
        </w:rPr>
        <w:t>2</w:t>
      </w:r>
      <w:r>
        <w:rPr>
          <w:rFonts w:hint="eastAsia" w:ascii="仿宋" w:hAnsi="仿宋" w:eastAsia="仿宋"/>
          <w:color w:val="FF0000"/>
          <w:sz w:val="28"/>
          <w:szCs w:val="28"/>
          <w:u w:val="single"/>
        </w:rPr>
        <w:t>年6月15日</w:t>
      </w:r>
      <w:r>
        <w:rPr>
          <w:rFonts w:hint="eastAsia" w:ascii="仿宋" w:hAnsi="仿宋" w:eastAsia="仿宋"/>
          <w:color w:val="FF0000"/>
          <w:sz w:val="28"/>
          <w:szCs w:val="28"/>
        </w:rPr>
        <w:t>至</w:t>
      </w:r>
      <w:r>
        <w:rPr>
          <w:rFonts w:hint="eastAsia" w:ascii="仿宋" w:hAnsi="仿宋" w:eastAsia="仿宋"/>
          <w:color w:val="FF0000"/>
          <w:sz w:val="28"/>
          <w:szCs w:val="28"/>
          <w:u w:val="single"/>
        </w:rPr>
        <w:t>202</w:t>
      </w:r>
      <w:r>
        <w:rPr>
          <w:rFonts w:hint="eastAsia" w:ascii="仿宋" w:hAnsi="仿宋" w:eastAsia="仿宋"/>
          <w:color w:val="FF0000"/>
          <w:sz w:val="28"/>
          <w:szCs w:val="28"/>
          <w:u w:val="single"/>
          <w:lang w:val="en-US" w:eastAsia="zh-CN"/>
        </w:rPr>
        <w:t>2</w:t>
      </w:r>
      <w:r>
        <w:rPr>
          <w:rFonts w:hint="eastAsia" w:ascii="仿宋" w:hAnsi="仿宋" w:eastAsia="仿宋"/>
          <w:color w:val="FF0000"/>
          <w:sz w:val="28"/>
          <w:szCs w:val="28"/>
          <w:u w:val="single"/>
        </w:rPr>
        <w:t>年6月22日</w:t>
      </w:r>
      <w:r>
        <w:rPr>
          <w:rFonts w:hint="eastAsia" w:ascii="仿宋" w:hAnsi="仿宋" w:eastAsia="仿宋"/>
          <w:iCs/>
          <w:sz w:val="28"/>
          <w:szCs w:val="28"/>
          <w:u w:val="single"/>
        </w:rPr>
        <w:t>（</w:t>
      </w:r>
      <w:r>
        <w:rPr>
          <w:rFonts w:hint="eastAsia" w:ascii="仿宋" w:hAnsi="仿宋" w:eastAsia="仿宋"/>
          <w:i/>
          <w:sz w:val="28"/>
          <w:szCs w:val="28"/>
          <w:u w:val="single"/>
        </w:rPr>
        <w:t>公示期限不得少于5个工作日</w:t>
      </w:r>
      <w:r>
        <w:rPr>
          <w:rFonts w:hint="eastAsia" w:ascii="仿宋" w:hAnsi="仿宋" w:eastAsia="仿宋"/>
          <w:iCs/>
          <w:sz w:val="28"/>
          <w:szCs w:val="28"/>
          <w:u w:val="single"/>
        </w:rPr>
        <w:t>）</w:t>
      </w:r>
    </w:p>
    <w:p>
      <w:pPr>
        <w:rPr>
          <w:rFonts w:ascii="黑体" w:hAnsi="黑体" w:eastAsia="黑体"/>
          <w:sz w:val="28"/>
          <w:szCs w:val="28"/>
        </w:rPr>
      </w:pPr>
      <w:r>
        <w:rPr>
          <w:rFonts w:hint="eastAsia" w:ascii="黑体" w:hAnsi="黑体" w:eastAsia="黑体"/>
          <w:sz w:val="28"/>
          <w:szCs w:val="28"/>
        </w:rPr>
        <w:t>四、</w:t>
      </w:r>
      <w:r>
        <w:rPr>
          <w:rFonts w:ascii="黑体" w:hAnsi="黑体" w:eastAsia="黑体"/>
          <w:sz w:val="28"/>
          <w:szCs w:val="28"/>
        </w:rPr>
        <w:t>其他</w:t>
      </w:r>
      <w:r>
        <w:rPr>
          <w:rFonts w:hint="eastAsia" w:ascii="黑体" w:hAnsi="黑体" w:eastAsia="黑体"/>
          <w:sz w:val="28"/>
          <w:szCs w:val="28"/>
        </w:rPr>
        <w:t>补充事宜：</w:t>
      </w:r>
    </w:p>
    <w:p>
      <w:pPr>
        <w:rPr>
          <w:rFonts w:ascii="黑体" w:hAnsi="黑体" w:eastAsia="黑体"/>
          <w:sz w:val="28"/>
          <w:szCs w:val="28"/>
        </w:rPr>
      </w:pPr>
      <w:r>
        <w:rPr>
          <w:rFonts w:hint="eastAsia" w:ascii="黑体" w:hAnsi="黑体" w:eastAsia="黑体"/>
          <w:sz w:val="28"/>
          <w:szCs w:val="28"/>
        </w:rPr>
        <w:t>五、联系方式</w:t>
      </w:r>
    </w:p>
    <w:p>
      <w:pPr>
        <w:ind w:firstLine="565" w:firstLineChars="202"/>
        <w:rPr>
          <w:rFonts w:ascii="仿宋" w:hAnsi="仿宋" w:eastAsia="仿宋"/>
          <w:sz w:val="28"/>
          <w:szCs w:val="28"/>
        </w:rPr>
      </w:pPr>
      <w:r>
        <w:rPr>
          <w:rFonts w:hint="eastAsia" w:ascii="仿宋" w:hAnsi="仿宋" w:eastAsia="仿宋"/>
          <w:sz w:val="28"/>
          <w:szCs w:val="28"/>
        </w:rPr>
        <w:t>1.采购人</w:t>
      </w:r>
    </w:p>
    <w:p>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single"/>
        </w:rPr>
        <w:t>　</w:t>
      </w:r>
      <w:r>
        <w:rPr>
          <w:rFonts w:hint="eastAsia" w:ascii="仿宋_GB2312" w:hAnsi="宋体" w:eastAsia="仿宋_GB2312" w:cs="仿宋_GB2312"/>
          <w:color w:val="000000"/>
          <w:kern w:val="0"/>
          <w:sz w:val="28"/>
          <w:szCs w:val="28"/>
          <w:u w:val="single"/>
          <w:lang w:val="zh-CN"/>
        </w:rPr>
        <w:t>范卓华</w:t>
      </w:r>
      <w:r>
        <w:rPr>
          <w:rFonts w:hint="eastAsia" w:ascii="仿宋" w:hAnsi="仿宋" w:eastAsia="仿宋"/>
          <w:sz w:val="28"/>
          <w:szCs w:val="28"/>
          <w:u w:val="single"/>
        </w:rPr>
        <w:t xml:space="preserve">　　     　　　 </w:t>
      </w:r>
    </w:p>
    <w:p>
      <w:pPr>
        <w:ind w:firstLine="565" w:firstLineChars="202"/>
        <w:rPr>
          <w:rFonts w:ascii="仿宋" w:hAnsi="仿宋" w:eastAsia="仿宋"/>
          <w:sz w:val="24"/>
          <w:szCs w:val="24"/>
        </w:rPr>
      </w:pPr>
      <w:r>
        <w:rPr>
          <w:rFonts w:hint="eastAsia" w:ascii="仿宋" w:hAnsi="仿宋" w:eastAsia="仿宋"/>
          <w:sz w:val="28"/>
          <w:szCs w:val="28"/>
        </w:rPr>
        <w:t>联系地址：</w:t>
      </w:r>
      <w:r>
        <w:rPr>
          <w:rFonts w:hint="eastAsia" w:ascii="仿宋_GB2312" w:hAnsi="宋体" w:eastAsia="仿宋_GB2312" w:cs="仿宋_GB2312"/>
          <w:color w:val="000000"/>
          <w:kern w:val="0"/>
          <w:sz w:val="28"/>
          <w:szCs w:val="28"/>
          <w:u w:val="single"/>
          <w:lang w:val="zh-CN"/>
        </w:rPr>
        <w:t>山西省太原市坞城路92号</w:t>
      </w:r>
    </w:p>
    <w:p>
      <w:pPr>
        <w:ind w:firstLine="565" w:firstLineChars="202"/>
        <w:rPr>
          <w:rFonts w:ascii="仿宋" w:hAnsi="仿宋" w:eastAsia="仿宋_GB2312"/>
          <w:sz w:val="28"/>
          <w:szCs w:val="28"/>
          <w:u w:val="single"/>
        </w:rPr>
      </w:pPr>
      <w:r>
        <w:rPr>
          <w:rFonts w:hint="eastAsia" w:ascii="仿宋" w:hAnsi="仿宋" w:eastAsia="仿宋"/>
          <w:sz w:val="28"/>
          <w:szCs w:val="28"/>
        </w:rPr>
        <w:t>联系电话：</w:t>
      </w:r>
      <w:r>
        <w:rPr>
          <w:rFonts w:hint="eastAsia" w:ascii="仿宋" w:hAnsi="仿宋" w:eastAsia="仿宋"/>
          <w:sz w:val="28"/>
          <w:szCs w:val="28"/>
          <w:u w:val="single"/>
        </w:rPr>
        <w:t>　</w:t>
      </w:r>
      <w:r>
        <w:rPr>
          <w:rFonts w:hint="eastAsia" w:ascii="仿宋_GB2312" w:hAnsi="宋体" w:eastAsia="仿宋_GB2312" w:cs="仿宋_GB2312"/>
          <w:color w:val="000000"/>
          <w:kern w:val="0"/>
          <w:sz w:val="28"/>
          <w:szCs w:val="28"/>
          <w:u w:val="single"/>
          <w:lang w:val="zh-CN"/>
        </w:rPr>
        <w:t>0351-7011255</w:t>
      </w:r>
      <w:r>
        <w:rPr>
          <w:rFonts w:hint="eastAsia" w:ascii="仿宋_GB2312" w:hAnsi="宋体" w:eastAsia="仿宋_GB2312" w:cs="仿宋_GB2312"/>
          <w:color w:val="000000"/>
          <w:kern w:val="0"/>
          <w:sz w:val="28"/>
          <w:szCs w:val="28"/>
          <w:u w:val="single"/>
        </w:rPr>
        <w:t xml:space="preserve">          </w:t>
      </w: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黑体" w:hAnsi="黑体" w:eastAsia="黑体"/>
          <w:sz w:val="28"/>
          <w:szCs w:val="28"/>
        </w:rPr>
      </w:pPr>
      <w:r>
        <w:rPr>
          <w:rFonts w:hint="eastAsia" w:ascii="黑体" w:hAnsi="黑体" w:eastAsia="黑体"/>
          <w:sz w:val="28"/>
          <w:szCs w:val="28"/>
        </w:rPr>
        <w:br w:type="page"/>
      </w:r>
    </w:p>
    <w:p>
      <w:pPr>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附件</w:t>
      </w:r>
    </w:p>
    <w:p>
      <w:pPr>
        <w:ind w:firstLine="560" w:firstLineChars="200"/>
        <w:rPr>
          <w:rFonts w:ascii="仿宋" w:hAnsi="仿宋" w:eastAsia="仿宋"/>
          <w:sz w:val="28"/>
          <w:szCs w:val="28"/>
        </w:rPr>
      </w:pPr>
      <w:r>
        <w:rPr>
          <w:rFonts w:hint="eastAsia" w:ascii="仿宋" w:hAnsi="仿宋" w:eastAsia="仿宋"/>
          <w:sz w:val="28"/>
          <w:szCs w:val="28"/>
        </w:rPr>
        <w:t>1、</w:t>
      </w:r>
      <w:r>
        <w:rPr>
          <w:rFonts w:hint="eastAsia" w:ascii="仿宋" w:hAnsi="仿宋" w:eastAsia="仿宋" w:cs="仿宋"/>
          <w:sz w:val="28"/>
          <w:szCs w:val="28"/>
        </w:rPr>
        <w:t>山西大学互联网专线租赁服务采购明细</w:t>
      </w:r>
    </w:p>
    <w:tbl>
      <w:tblPr>
        <w:tblStyle w:val="6"/>
        <w:tblW w:w="8698" w:type="dxa"/>
        <w:tblInd w:w="93" w:type="dxa"/>
        <w:tblLayout w:type="fixed"/>
        <w:tblCellMar>
          <w:top w:w="0" w:type="dxa"/>
          <w:left w:w="108" w:type="dxa"/>
          <w:bottom w:w="0" w:type="dxa"/>
          <w:right w:w="108" w:type="dxa"/>
        </w:tblCellMar>
      </w:tblPr>
      <w:tblGrid>
        <w:gridCol w:w="553"/>
        <w:gridCol w:w="1440"/>
        <w:gridCol w:w="615"/>
        <w:gridCol w:w="540"/>
        <w:gridCol w:w="1125"/>
        <w:gridCol w:w="3855"/>
        <w:gridCol w:w="570"/>
      </w:tblGrid>
      <w:tr>
        <w:trPr>
          <w:trHeight w:val="57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序号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货物名称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2"/>
                <w:szCs w:val="22"/>
              </w:rPr>
            </w:pPr>
            <w:r>
              <w:rPr>
                <w:color w:val="000000"/>
                <w:kern w:val="0"/>
                <w:sz w:val="22"/>
                <w:szCs w:val="22"/>
                <w:lang w:bidi="ar"/>
              </w:rPr>
              <w:t>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预算总价</w:t>
            </w:r>
            <w:r>
              <w:rPr>
                <w:rStyle w:val="82"/>
                <w:lang w:bidi="ar"/>
              </w:rPr>
              <w:t>(</w:t>
            </w:r>
            <w:r>
              <w:rPr>
                <w:rStyle w:val="83"/>
                <w:rFonts w:hint="default"/>
                <w:lang w:bidi="ar"/>
              </w:rPr>
              <w:t>元</w:t>
            </w:r>
            <w:r>
              <w:rPr>
                <w:rStyle w:val="82"/>
                <w:lang w:bidi="ar"/>
              </w:rPr>
              <w:t>)</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规格型号及配置技术参数</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备注</w:t>
            </w:r>
          </w:p>
        </w:tc>
      </w:tr>
      <w:tr>
        <w:tblPrEx>
          <w:tblCellMar>
            <w:top w:w="0" w:type="dxa"/>
            <w:left w:w="108" w:type="dxa"/>
            <w:bottom w:w="0" w:type="dxa"/>
            <w:right w:w="108" w:type="dxa"/>
          </w:tblCellMar>
        </w:tblPrEx>
        <w:trPr>
          <w:trHeight w:val="338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教育科研网及下一代互联网（IPv6）接入服务</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2"/>
                <w:szCs w:val="22"/>
              </w:rPr>
            </w:pPr>
            <w:r>
              <w:rPr>
                <w:rFonts w:hint="eastAsia" w:ascii="宋体" w:hAnsi="宋体" w:cs="宋体"/>
                <w:color w:val="000000"/>
                <w:kern w:val="0"/>
                <w:sz w:val="22"/>
                <w:szCs w:val="22"/>
                <w:lang w:bidi="ar"/>
              </w:rPr>
              <w:t xml:space="preserve">1 </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800000 </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1、向山西大学提供教育科研网CERNET专线接入服务，国内国际带宽500兆；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2、提供40个C类地址共10240个IPv4地址使用。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3、教育科研网相关域名及资源使用，包含 sxu.edu.cn 所有相关域名服务； </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4、向山西大学提供纯IPv6网络带宽接入及资源使用服务；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5、教育科研网IPv6域名及资源使用，包含 sxu6.edu.cn 所有相关域名服务；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6、提供教育科研网IPv6地址段 ::/48 地址。</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r>
      <w:tr>
        <w:trPr>
          <w:trHeight w:val="135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rFonts w:ascii="宋体" w:hAnsi="宋体" w:cs="宋体"/>
                <w:color w:val="000000"/>
                <w:kern w:val="0"/>
                <w:sz w:val="22"/>
                <w:szCs w:val="22"/>
                <w:lang w:bidi="ar"/>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互联网专线联通出口及坞城校区至大东关校区裸光纤和坞城校区至太原理工大学教育网山西省节点裸光纤；</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color w:val="000000"/>
                <w:kern w:val="0"/>
                <w:sz w:val="22"/>
                <w:szCs w:val="22"/>
                <w:lang w:bidi="ar"/>
              </w:rPr>
              <w:t xml:space="preserve">1 </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2"/>
                <w:szCs w:val="22"/>
                <w:lang w:bidi="ar"/>
              </w:rPr>
            </w:pPr>
            <w:r>
              <w:rPr>
                <w:rFonts w:ascii="宋体" w:hAnsi="宋体" w:cs="宋体"/>
                <w:color w:val="000000"/>
                <w:kern w:val="0"/>
                <w:sz w:val="22"/>
                <w:szCs w:val="22"/>
                <w:lang w:bidi="ar"/>
              </w:rPr>
              <w:t>100</w:t>
            </w:r>
            <w:r>
              <w:rPr>
                <w:rFonts w:hint="eastAsia" w:ascii="宋体" w:hAnsi="宋体" w:cs="宋体"/>
                <w:color w:val="000000"/>
                <w:kern w:val="0"/>
                <w:sz w:val="22"/>
                <w:szCs w:val="22"/>
                <w:lang w:bidi="ar"/>
              </w:rPr>
              <w:t xml:space="preserve">0000 </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1、提供一条带宽不小于2Gbps互联网出口专线；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2、提供公网IP地址280个（1个C类地址+8+16）；</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3、提供山西大学教工家属楼到山西大学校园网的互通光缆，实现在家中上校园网；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4、从用户终端到山西省出口路由器PING的时延为10ms≤时延；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5、从用户终端到山西省出口路由器PING的丢包率≤4‰。</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6、从山西大学坞城校区理科楼5层学校机房至山西大学大东关校区综合楼8层机房提供裸光纤一条，裸光纤光路损耗不大于-28dBm。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7、从山西大学坞城校区理科楼5层学校机房至太原理工大学山西省教育网机房提供裸光纤一条，裸光纤光路损耗不大于-28dBm。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8、提供相关专线至省网出口全路径节点清单和链路拓扑图；提供至大东关校区裸光缆全路径节点清单和链路拓扑图；提供至理工大教育网节点裸光缆全路径节点清单和链路拓扑图。</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r>
      <w:tr>
        <w:trPr>
          <w:trHeight w:val="285" w:hRule="atLeast"/>
        </w:trPr>
        <w:tc>
          <w:tcPr>
            <w:tcW w:w="19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合计</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2"/>
                <w:szCs w:val="22"/>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w:t>
            </w:r>
            <w:r>
              <w:rPr>
                <w:rFonts w:ascii="宋体" w:hAnsi="宋体" w:cs="宋体"/>
                <w:color w:val="000000"/>
                <w:kern w:val="0"/>
                <w:sz w:val="22"/>
                <w:szCs w:val="22"/>
                <w:lang w:bidi="ar"/>
              </w:rPr>
              <w:t>80</w:t>
            </w:r>
            <w:r>
              <w:rPr>
                <w:rFonts w:hint="eastAsia" w:ascii="宋体" w:hAnsi="宋体" w:cs="宋体"/>
                <w:color w:val="000000"/>
                <w:kern w:val="0"/>
                <w:sz w:val="22"/>
                <w:szCs w:val="22"/>
                <w:lang w:bidi="ar"/>
              </w:rPr>
              <w:t xml:space="preserve">0000 </w:t>
            </w:r>
          </w:p>
        </w:tc>
        <w:tc>
          <w:tcPr>
            <w:tcW w:w="385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2"/>
                <w:szCs w:val="22"/>
              </w:rPr>
            </w:pPr>
          </w:p>
        </w:tc>
      </w:tr>
    </w:tbl>
    <w:p>
      <w:pPr>
        <w:rPr>
          <w:rFonts w:ascii="黑体" w:hAnsi="黑体" w:eastAsia="黑体"/>
          <w:sz w:val="28"/>
          <w:szCs w:val="28"/>
        </w:rPr>
      </w:pPr>
    </w:p>
    <w:p>
      <w:pPr>
        <w:rPr>
          <w:rFonts w:ascii="黑体" w:hAnsi="黑体" w:eastAsia="黑体"/>
          <w:sz w:val="28"/>
          <w:szCs w:val="28"/>
        </w:rPr>
      </w:pPr>
    </w:p>
    <w:p>
      <w:pPr>
        <w:rPr>
          <w:rFonts w:ascii="黑体" w:hAnsi="黑体" w:eastAsia="黑体"/>
          <w:sz w:val="28"/>
          <w:szCs w:val="28"/>
        </w:rPr>
      </w:pPr>
    </w:p>
    <w:p>
      <w:pPr>
        <w:rPr>
          <w:rFonts w:ascii="黑体" w:hAnsi="黑体" w:eastAsia="黑体"/>
          <w:sz w:val="28"/>
          <w:szCs w:val="28"/>
        </w:rPr>
      </w:pPr>
      <w:r>
        <w:rPr>
          <w:rFonts w:hint="eastAsia" w:ascii="黑体" w:hAnsi="黑体" w:eastAsia="黑体"/>
          <w:sz w:val="28"/>
          <w:szCs w:val="28"/>
        </w:rPr>
        <w:t>2、三位专家的论证意见</w:t>
      </w:r>
    </w:p>
    <w:p>
      <w:pPr>
        <w:rPr>
          <w:rFonts w:ascii="黑体" w:hAnsi="黑体" w:eastAsia="黑体"/>
          <w:sz w:val="28"/>
          <w:szCs w:val="28"/>
        </w:rPr>
      </w:pPr>
    </w:p>
    <w:p>
      <w:pPr>
        <w:rPr>
          <w:rFonts w:ascii="黑体" w:hAnsi="黑体" w:eastAsia="黑体"/>
          <w:sz w:val="28"/>
          <w:szCs w:val="28"/>
        </w:rPr>
      </w:pPr>
      <w:r>
        <w:rPr>
          <w:rFonts w:hint="eastAsia" w:ascii="黑体" w:hAnsi="黑体" w:eastAsia="黑体"/>
          <w:sz w:val="28"/>
          <w:szCs w:val="28"/>
        </w:rPr>
        <w:drawing>
          <wp:inline distT="0" distB="0" distL="114300" distR="114300">
            <wp:extent cx="5267960" cy="7513320"/>
            <wp:effectExtent l="0" t="0" r="8890" b="11430"/>
            <wp:docPr id="1" name="图片 1" descr="2.2.1单一来源专家论证意见表-张景安2022052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2.1单一来源专家论证意见表-张景安20220524_00"/>
                    <pic:cNvPicPr>
                      <a:picLocks noChangeAspect="1"/>
                    </pic:cNvPicPr>
                  </pic:nvPicPr>
                  <pic:blipFill>
                    <a:blip r:embed="rId4"/>
                    <a:stretch>
                      <a:fillRect/>
                    </a:stretch>
                  </pic:blipFill>
                  <pic:spPr>
                    <a:xfrm>
                      <a:off x="0" y="0"/>
                      <a:ext cx="5267960" cy="7513320"/>
                    </a:xfrm>
                    <a:prstGeom prst="rect">
                      <a:avLst/>
                    </a:prstGeom>
                  </pic:spPr>
                </pic:pic>
              </a:graphicData>
            </a:graphic>
          </wp:inline>
        </w:drawing>
      </w:r>
      <w:r>
        <w:rPr>
          <w:rFonts w:hint="eastAsia" w:ascii="黑体" w:hAnsi="黑体" w:eastAsia="黑体"/>
          <w:sz w:val="28"/>
          <w:szCs w:val="28"/>
        </w:rPr>
        <w:drawing>
          <wp:inline distT="0" distB="0" distL="114300" distR="114300">
            <wp:extent cx="5267960" cy="7453630"/>
            <wp:effectExtent l="0" t="0" r="8890" b="13970"/>
            <wp:docPr id="4" name="图片 4" descr="2.2.2单一来源专家论证意见表-曹建芳2022052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2.2单一来源专家论证意见表-曹建芳20220524_00"/>
                    <pic:cNvPicPr>
                      <a:picLocks noChangeAspect="1"/>
                    </pic:cNvPicPr>
                  </pic:nvPicPr>
                  <pic:blipFill>
                    <a:blip r:embed="rId5"/>
                    <a:stretch>
                      <a:fillRect/>
                    </a:stretch>
                  </pic:blipFill>
                  <pic:spPr>
                    <a:xfrm>
                      <a:off x="0" y="0"/>
                      <a:ext cx="5267960" cy="7453630"/>
                    </a:xfrm>
                    <a:prstGeom prst="rect">
                      <a:avLst/>
                    </a:prstGeom>
                  </pic:spPr>
                </pic:pic>
              </a:graphicData>
            </a:graphic>
          </wp:inline>
        </w:drawing>
      </w:r>
      <w:r>
        <w:rPr>
          <w:rFonts w:hint="eastAsia" w:ascii="黑体" w:hAnsi="黑体" w:eastAsia="黑体"/>
          <w:sz w:val="28"/>
          <w:szCs w:val="28"/>
        </w:rPr>
        <w:drawing>
          <wp:inline distT="0" distB="0" distL="114300" distR="114300">
            <wp:extent cx="5267960" cy="8350250"/>
            <wp:effectExtent l="0" t="0" r="8890" b="12700"/>
            <wp:docPr id="3" name="图片 3" descr="2.2.3单一来源专家论证意见表-罗永莲20220524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3单一来源专家论证意见表-罗永莲20220524_00"/>
                    <pic:cNvPicPr>
                      <a:picLocks noChangeAspect="1"/>
                    </pic:cNvPicPr>
                  </pic:nvPicPr>
                  <pic:blipFill>
                    <a:blip r:embed="rId6"/>
                    <a:stretch>
                      <a:fillRect/>
                    </a:stretch>
                  </pic:blipFill>
                  <pic:spPr>
                    <a:xfrm>
                      <a:off x="0" y="0"/>
                      <a:ext cx="5267960" cy="835025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E0D75"/>
    <w:multiLevelType w:val="singleLevel"/>
    <w:tmpl w:val="80AE0D75"/>
    <w:lvl w:ilvl="0" w:tentative="0">
      <w:start w:val="1"/>
      <w:numFmt w:val="decimal"/>
      <w:lvlText w:val="(%1)"/>
      <w:lvlJc w:val="left"/>
      <w:pPr>
        <w:ind w:left="425" w:hanging="425"/>
      </w:pPr>
      <w:rPr>
        <w:rFonts w:hint="default"/>
      </w:rPr>
    </w:lvl>
  </w:abstractNum>
  <w:abstractNum w:abstractNumId="1">
    <w:nsid w:val="36D67598"/>
    <w:multiLevelType w:val="multilevel"/>
    <w:tmpl w:val="36D67598"/>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9D3"/>
    <w:rsid w:val="00055628"/>
    <w:rsid w:val="000D0E59"/>
    <w:rsid w:val="001C036F"/>
    <w:rsid w:val="001D3FC2"/>
    <w:rsid w:val="002E2085"/>
    <w:rsid w:val="002F75AF"/>
    <w:rsid w:val="00313636"/>
    <w:rsid w:val="004A1E2D"/>
    <w:rsid w:val="004F3AF3"/>
    <w:rsid w:val="00501C29"/>
    <w:rsid w:val="00532E90"/>
    <w:rsid w:val="00562669"/>
    <w:rsid w:val="00562B2F"/>
    <w:rsid w:val="0058337C"/>
    <w:rsid w:val="00595990"/>
    <w:rsid w:val="005A0639"/>
    <w:rsid w:val="005C49D3"/>
    <w:rsid w:val="006071D8"/>
    <w:rsid w:val="00612F03"/>
    <w:rsid w:val="0062130C"/>
    <w:rsid w:val="00743796"/>
    <w:rsid w:val="00811509"/>
    <w:rsid w:val="00826DFA"/>
    <w:rsid w:val="008344BF"/>
    <w:rsid w:val="009D5D0F"/>
    <w:rsid w:val="00B43585"/>
    <w:rsid w:val="00B53176"/>
    <w:rsid w:val="00BA62A4"/>
    <w:rsid w:val="00BB0B61"/>
    <w:rsid w:val="00D32C0C"/>
    <w:rsid w:val="00DB5CC0"/>
    <w:rsid w:val="00DD322E"/>
    <w:rsid w:val="00EF3892"/>
    <w:rsid w:val="00F37FDC"/>
    <w:rsid w:val="00FA4A19"/>
    <w:rsid w:val="00FD17FA"/>
    <w:rsid w:val="00FE11A9"/>
    <w:rsid w:val="01211334"/>
    <w:rsid w:val="012C5630"/>
    <w:rsid w:val="012F73F7"/>
    <w:rsid w:val="01BC2368"/>
    <w:rsid w:val="01D863CF"/>
    <w:rsid w:val="02A87440"/>
    <w:rsid w:val="07760434"/>
    <w:rsid w:val="0AC0747E"/>
    <w:rsid w:val="0B7A5836"/>
    <w:rsid w:val="0D0F2988"/>
    <w:rsid w:val="0D835B61"/>
    <w:rsid w:val="10D724B6"/>
    <w:rsid w:val="131E1F72"/>
    <w:rsid w:val="13A06E4E"/>
    <w:rsid w:val="147510FD"/>
    <w:rsid w:val="14B35334"/>
    <w:rsid w:val="17F47EE3"/>
    <w:rsid w:val="183A43C7"/>
    <w:rsid w:val="18BF2933"/>
    <w:rsid w:val="18CA0757"/>
    <w:rsid w:val="1B1D69BD"/>
    <w:rsid w:val="1B2D58D4"/>
    <w:rsid w:val="1C320FFF"/>
    <w:rsid w:val="1E4E3685"/>
    <w:rsid w:val="1E853E44"/>
    <w:rsid w:val="1EFF0320"/>
    <w:rsid w:val="20A57948"/>
    <w:rsid w:val="20AA6442"/>
    <w:rsid w:val="223428D5"/>
    <w:rsid w:val="28E362E4"/>
    <w:rsid w:val="2B607509"/>
    <w:rsid w:val="2C7C6433"/>
    <w:rsid w:val="2F5024C1"/>
    <w:rsid w:val="33AB7056"/>
    <w:rsid w:val="33CB4BC1"/>
    <w:rsid w:val="34E05F26"/>
    <w:rsid w:val="35B0075F"/>
    <w:rsid w:val="36481F31"/>
    <w:rsid w:val="388422F8"/>
    <w:rsid w:val="388430DC"/>
    <w:rsid w:val="3AAE0502"/>
    <w:rsid w:val="3FF71B64"/>
    <w:rsid w:val="41682B01"/>
    <w:rsid w:val="45824D9C"/>
    <w:rsid w:val="47AB29E4"/>
    <w:rsid w:val="49DB26F5"/>
    <w:rsid w:val="4E106F73"/>
    <w:rsid w:val="4ED9662D"/>
    <w:rsid w:val="4F2347F3"/>
    <w:rsid w:val="4FF843A9"/>
    <w:rsid w:val="500F5A63"/>
    <w:rsid w:val="50281D24"/>
    <w:rsid w:val="537022E8"/>
    <w:rsid w:val="55175333"/>
    <w:rsid w:val="556575EC"/>
    <w:rsid w:val="565078D8"/>
    <w:rsid w:val="58BE40DC"/>
    <w:rsid w:val="5A53096C"/>
    <w:rsid w:val="5E7247D2"/>
    <w:rsid w:val="5EC255F4"/>
    <w:rsid w:val="5FCC7444"/>
    <w:rsid w:val="606348F2"/>
    <w:rsid w:val="619E2E19"/>
    <w:rsid w:val="62A10B58"/>
    <w:rsid w:val="63E62C51"/>
    <w:rsid w:val="644E76E6"/>
    <w:rsid w:val="646477AD"/>
    <w:rsid w:val="649C52BA"/>
    <w:rsid w:val="6A7B16B0"/>
    <w:rsid w:val="6E1610C8"/>
    <w:rsid w:val="6F507274"/>
    <w:rsid w:val="714C59D2"/>
    <w:rsid w:val="761D3F6D"/>
    <w:rsid w:val="764B6D84"/>
    <w:rsid w:val="76B97075"/>
    <w:rsid w:val="7B0C119C"/>
    <w:rsid w:val="7CBA1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81"/>
    <w:qFormat/>
    <w:uiPriority w:val="0"/>
    <w:rPr>
      <w:sz w:val="18"/>
      <w:szCs w:val="18"/>
    </w:r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rFonts w:cs="Times New Roman"/>
      <w:b/>
      <w:bCs/>
    </w:rPr>
  </w:style>
  <w:style w:type="character" w:styleId="10">
    <w:name w:val="FollowedHyperlink"/>
    <w:qFormat/>
    <w:uiPriority w:val="0"/>
    <w:rPr>
      <w:color w:val="800080"/>
      <w:u w:val="single"/>
    </w:rPr>
  </w:style>
  <w:style w:type="character" w:styleId="11">
    <w:name w:val="Hyperlink"/>
    <w:qFormat/>
    <w:uiPriority w:val="0"/>
    <w:rPr>
      <w:color w:val="0000FF"/>
      <w:u w:val="single"/>
    </w:rPr>
  </w:style>
  <w:style w:type="paragraph" w:styleId="12">
    <w:name w:val="List Paragraph"/>
    <w:basedOn w:val="1"/>
    <w:qFormat/>
    <w:uiPriority w:val="34"/>
    <w:pPr>
      <w:ind w:firstLine="420" w:firstLineChars="200"/>
    </w:pPr>
  </w:style>
  <w:style w:type="character" w:customStyle="1" w:styleId="13">
    <w:name w:val="页眉 字符"/>
    <w:basedOn w:val="8"/>
    <w:link w:val="5"/>
    <w:qFormat/>
    <w:uiPriority w:val="0"/>
    <w:rPr>
      <w:kern w:val="2"/>
      <w:sz w:val="18"/>
      <w:szCs w:val="18"/>
    </w:rPr>
  </w:style>
  <w:style w:type="character" w:customStyle="1" w:styleId="14">
    <w:name w:val="页脚 字符"/>
    <w:basedOn w:val="8"/>
    <w:link w:val="4"/>
    <w:qFormat/>
    <w:uiPriority w:val="0"/>
    <w:rPr>
      <w:kern w:val="2"/>
      <w:sz w:val="18"/>
      <w:szCs w:val="18"/>
    </w:rPr>
  </w:style>
  <w:style w:type="paragraph" w:customStyle="1" w:styleId="15">
    <w:name w:val="Heading2"/>
    <w:basedOn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character" w:customStyle="1" w:styleId="16">
    <w:name w:val="NormalCharacter"/>
    <w:semiHidden/>
    <w:qFormat/>
    <w:uiPriority w:val="0"/>
  </w:style>
  <w:style w:type="table" w:customStyle="1" w:styleId="17">
    <w:name w:val="TableNormal"/>
    <w:semiHidden/>
    <w:qFormat/>
    <w:uiPriority w:val="0"/>
    <w:rPr>
      <w:rFonts w:cstheme="minorBidi"/>
    </w:rPr>
    <w:tblPr>
      <w:tblCellMar>
        <w:top w:w="0" w:type="dxa"/>
        <w:left w:w="0" w:type="dxa"/>
        <w:bottom w:w="0" w:type="dxa"/>
        <w:right w:w="0" w:type="dxa"/>
      </w:tblCellMar>
    </w:tblPr>
  </w:style>
  <w:style w:type="paragraph" w:customStyle="1" w:styleId="18">
    <w:name w:val="HtmlNormal"/>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character" w:customStyle="1" w:styleId="19">
    <w:name w:val="PageNumber"/>
    <w:basedOn w:val="16"/>
    <w:qFormat/>
    <w:uiPriority w:val="0"/>
  </w:style>
  <w:style w:type="paragraph" w:customStyle="1" w:styleId="20">
    <w:name w:val="UserStyle_0"/>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21">
    <w:name w:val="Acetate"/>
    <w:basedOn w:val="1"/>
    <w:semiHidden/>
    <w:qFormat/>
    <w:uiPriority w:val="0"/>
    <w:pPr>
      <w:widowControl/>
      <w:textAlignment w:val="baseline"/>
    </w:pPr>
    <w:rPr>
      <w:rFonts w:cstheme="minorBidi"/>
      <w:sz w:val="18"/>
      <w:szCs w:val="18"/>
    </w:rPr>
  </w:style>
  <w:style w:type="table" w:customStyle="1" w:styleId="22">
    <w:name w:val="TableGrid"/>
    <w:basedOn w:val="17"/>
    <w:qFormat/>
    <w:uiPriority w:val="0"/>
  </w:style>
  <w:style w:type="table" w:customStyle="1" w:styleId="23">
    <w:name w:val="TableElegant"/>
    <w:basedOn w:val="17"/>
    <w:qFormat/>
    <w:uiPriority w:val="0"/>
  </w:style>
  <w:style w:type="table" w:customStyle="1" w:styleId="24">
    <w:name w:val="TableClassic1"/>
    <w:basedOn w:val="17"/>
    <w:qFormat/>
    <w:uiPriority w:val="0"/>
  </w:style>
  <w:style w:type="table" w:customStyle="1" w:styleId="25">
    <w:name w:val="TableSubtle1"/>
    <w:basedOn w:val="17"/>
    <w:qFormat/>
    <w:uiPriority w:val="0"/>
  </w:style>
  <w:style w:type="table" w:customStyle="1" w:styleId="26">
    <w:name w:val="TableTheme"/>
    <w:basedOn w:val="17"/>
    <w:qFormat/>
    <w:uiPriority w:val="0"/>
  </w:style>
  <w:style w:type="table" w:customStyle="1" w:styleId="27">
    <w:name w:val="TableColorful1"/>
    <w:basedOn w:val="17"/>
    <w:qFormat/>
    <w:uiPriority w:val="0"/>
  </w:style>
  <w:style w:type="table" w:customStyle="1" w:styleId="28">
    <w:name w:val="TableColorful2"/>
    <w:basedOn w:val="17"/>
    <w:qFormat/>
    <w:uiPriority w:val="0"/>
  </w:style>
  <w:style w:type="table" w:customStyle="1" w:styleId="29">
    <w:name w:val="TableColorful3"/>
    <w:basedOn w:val="17"/>
    <w:qFormat/>
    <w:uiPriority w:val="0"/>
  </w:style>
  <w:style w:type="paragraph" w:customStyle="1" w:styleId="30">
    <w:name w:val="UserStyle_1"/>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31">
    <w:name w:val="UserStyle_2"/>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2">
    <w:name w:val="UserStyle_3"/>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3">
    <w:name w:val="UserStyle_4"/>
    <w:basedOn w:val="1"/>
    <w:qFormat/>
    <w:uiPriority w:val="0"/>
    <w:pPr>
      <w:widowControl/>
      <w:spacing w:before="100" w:beforeAutospacing="1" w:after="100" w:afterAutospacing="1"/>
      <w:jc w:val="left"/>
      <w:textAlignment w:val="baseline"/>
    </w:pPr>
    <w:rPr>
      <w:rFonts w:cstheme="minorBidi"/>
      <w:kern w:val="0"/>
      <w:sz w:val="22"/>
      <w:szCs w:val="22"/>
    </w:rPr>
  </w:style>
  <w:style w:type="paragraph" w:customStyle="1" w:styleId="34">
    <w:name w:val="UserStyle_5"/>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5">
    <w:name w:val="UserStyle_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6">
    <w:name w:val="UserStyle_7"/>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37">
    <w:name w:val="UserStyle_8"/>
    <w:basedOn w:val="1"/>
    <w:qFormat/>
    <w:uiPriority w:val="0"/>
    <w:pPr>
      <w:widowControl/>
      <w:spacing w:before="100" w:beforeAutospacing="1" w:after="100" w:afterAutospacing="1"/>
      <w:jc w:val="left"/>
      <w:textAlignment w:val="bottom"/>
    </w:pPr>
    <w:rPr>
      <w:rFonts w:ascii="宋体" w:hAnsi="宋体" w:cstheme="minorBidi"/>
      <w:kern w:val="0"/>
      <w:sz w:val="22"/>
      <w:szCs w:val="22"/>
    </w:rPr>
  </w:style>
  <w:style w:type="paragraph" w:customStyle="1" w:styleId="38">
    <w:name w:val="UserStyle_9"/>
    <w:basedOn w:val="1"/>
    <w:qFormat/>
    <w:uiPriority w:val="0"/>
    <w:pPr>
      <w:widowControl/>
      <w:pBdr>
        <w:bottom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39">
    <w:name w:val="UserStyle_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0">
    <w:name w:val="UserStyle_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1">
    <w:name w:val="UserStyle_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cstheme="minorBidi"/>
      <w:kern w:val="0"/>
      <w:sz w:val="22"/>
      <w:szCs w:val="22"/>
    </w:rPr>
  </w:style>
  <w:style w:type="paragraph" w:customStyle="1" w:styleId="42">
    <w:name w:val="UserStyle_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3">
    <w:name w:val="UserStyle_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2"/>
      <w:szCs w:val="22"/>
    </w:rPr>
  </w:style>
  <w:style w:type="paragraph" w:customStyle="1" w:styleId="44">
    <w:name w:val="UserStyle_1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5">
    <w:name w:val="UserStyle_1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6">
    <w:name w:val="UserStyle_17"/>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47">
    <w:name w:val="UserStyle_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8">
    <w:name w:val="UserStyle_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9">
    <w:name w:val="UserStyle_2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0">
    <w:name w:val="UserStyle_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1">
    <w:name w:val="UserStyle_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2">
    <w:name w:val="UserStyle_23"/>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3">
    <w:name w:val="UserStyle_24"/>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4">
    <w:name w:val="UserStyle_2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5">
    <w:name w:val="UserStyle_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6">
    <w:name w:val="UserStyle_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7">
    <w:name w:val="UserStyle_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8">
    <w:name w:val="UserStyle_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9">
    <w:name w:val="UserStyle_3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0">
    <w:name w:val="UserStyle_31"/>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61">
    <w:name w:val="UserStyle_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2">
    <w:name w:val="UserStyle_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3">
    <w:name w:val="UserStyle_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4">
    <w:name w:val="UserStyle_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5">
    <w:name w:val="UserStyle_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66">
    <w:name w:val="UserStyle_3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7">
    <w:name w:val="UserStyle_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18"/>
      <w:szCs w:val="18"/>
    </w:rPr>
  </w:style>
  <w:style w:type="paragraph" w:customStyle="1" w:styleId="68">
    <w:name w:val="UserStyle_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69">
    <w:name w:val="UserStyle_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70">
    <w:name w:val="UserStyle_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71">
    <w:name w:val="UserStyle_4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宋体"/>
      <w:b/>
      <w:bCs/>
      <w:kern w:val="0"/>
      <w:sz w:val="22"/>
      <w:szCs w:val="22"/>
    </w:rPr>
  </w:style>
  <w:style w:type="paragraph" w:customStyle="1" w:styleId="72">
    <w:name w:val="UserStyle_43"/>
    <w:basedOn w:val="1"/>
    <w:qFormat/>
    <w:uiPriority w:val="0"/>
    <w:pPr>
      <w:widowControl/>
      <w:spacing w:before="100" w:beforeAutospacing="1" w:after="100" w:afterAutospacing="1"/>
      <w:jc w:val="center"/>
      <w:textAlignment w:val="baseline"/>
    </w:pPr>
    <w:rPr>
      <w:rFonts w:ascii="宋体" w:hAnsi="宋体" w:cs="宋体"/>
      <w:b/>
      <w:bCs/>
      <w:kern w:val="0"/>
      <w:sz w:val="22"/>
      <w:szCs w:val="22"/>
    </w:rPr>
  </w:style>
  <w:style w:type="paragraph" w:customStyle="1" w:styleId="73">
    <w:name w:val="UserStyle_44"/>
    <w:basedOn w:val="1"/>
    <w:qFormat/>
    <w:uiPriority w:val="0"/>
    <w:pPr>
      <w:widowControl/>
      <w:spacing w:before="100" w:beforeAutospacing="1" w:after="100" w:afterAutospacing="1"/>
      <w:jc w:val="right"/>
      <w:textAlignment w:val="baseline"/>
    </w:pPr>
    <w:rPr>
      <w:rFonts w:ascii="宋体" w:hAnsi="宋体" w:cstheme="minorBidi"/>
      <w:kern w:val="0"/>
      <w:sz w:val="22"/>
      <w:szCs w:val="22"/>
    </w:rPr>
  </w:style>
  <w:style w:type="paragraph" w:customStyle="1" w:styleId="74">
    <w:name w:val="UserStyle_4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5">
    <w:name w:val="UserStyle_4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6">
    <w:name w:val="UserStyle_47"/>
    <w:basedOn w:val="1"/>
    <w:qFormat/>
    <w:uiPriority w:val="0"/>
    <w:pPr>
      <w:widowControl/>
      <w:pBdr>
        <w:top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7">
    <w:name w:val="UserStyle_48"/>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8">
    <w:name w:val="UserStyle_49"/>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9">
    <w:name w:val="UserStyle_50"/>
    <w:basedOn w:val="1"/>
    <w:qFormat/>
    <w:uiPriority w:val="0"/>
    <w:pPr>
      <w:widowControl/>
      <w:pBdr>
        <w:bottom w:val="single" w:color="000000" w:sz="4" w:space="0"/>
      </w:pBdr>
      <w:spacing w:before="100" w:beforeAutospacing="1" w:after="100" w:afterAutospacing="1"/>
      <w:jc w:val="right"/>
      <w:textAlignment w:val="baseline"/>
    </w:pPr>
    <w:rPr>
      <w:rFonts w:ascii="宋体" w:hAnsi="宋体" w:cstheme="minorBidi"/>
      <w:kern w:val="0"/>
      <w:sz w:val="22"/>
      <w:szCs w:val="22"/>
    </w:rPr>
  </w:style>
  <w:style w:type="paragraph" w:customStyle="1" w:styleId="80">
    <w:name w:val="UserStyle_51"/>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character" w:customStyle="1" w:styleId="81">
    <w:name w:val="批注框文本 字符"/>
    <w:basedOn w:val="8"/>
    <w:link w:val="3"/>
    <w:qFormat/>
    <w:uiPriority w:val="0"/>
    <w:rPr>
      <w:kern w:val="2"/>
      <w:sz w:val="18"/>
      <w:szCs w:val="18"/>
    </w:rPr>
  </w:style>
  <w:style w:type="character" w:customStyle="1" w:styleId="82">
    <w:name w:val="font11"/>
    <w:basedOn w:val="8"/>
    <w:qFormat/>
    <w:uiPriority w:val="0"/>
    <w:rPr>
      <w:rFonts w:hint="default" w:ascii="Times New Roman" w:hAnsi="Times New Roman" w:cs="Times New Roman"/>
      <w:color w:val="000000"/>
      <w:sz w:val="22"/>
      <w:szCs w:val="22"/>
      <w:u w:val="none"/>
    </w:rPr>
  </w:style>
  <w:style w:type="character" w:customStyle="1" w:styleId="83">
    <w:name w:val="font2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zcc</Company>
  <Pages>7</Pages>
  <Words>282</Words>
  <Characters>1611</Characters>
  <Lines>13</Lines>
  <Paragraphs>3</Paragraphs>
  <TotalTime>1</TotalTime>
  <ScaleCrop>false</ScaleCrop>
  <LinksUpToDate>false</LinksUpToDate>
  <CharactersWithSpaces>1890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2022-06-15T12:18:00Z</dcterms:created>
  <dc:creator>Administrator</dc:creator>
  <cp:lastModifiedBy>Administrator</cp:lastModifiedBy>
  <dcterms:modified xsi:type="dcterms:W3CDTF">2022-08-04T04:19:08Z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715D4566BAB14525994CC392827F57D1</vt:lpwstr>
  </property>
</Properties>
</file>